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2064" w14:textId="38A08776" w:rsidR="00915343" w:rsidRPr="001E6091" w:rsidRDefault="00915343" w:rsidP="001A5BCE">
      <w:pPr>
        <w:autoSpaceDE w:val="0"/>
        <w:autoSpaceDN w:val="0"/>
        <w:adjustRightInd w:val="0"/>
        <w:rPr>
          <w:rFonts w:ascii="Times" w:hAnsi="Times" w:cs="ømF»˛"/>
          <w:b/>
          <w:bCs/>
          <w:color w:val="000000"/>
        </w:rPr>
      </w:pPr>
      <w:r w:rsidRPr="001E6091">
        <w:rPr>
          <w:rFonts w:ascii="Times" w:hAnsi="Times" w:cs="ømF»˛"/>
          <w:b/>
          <w:bCs/>
          <w:color w:val="000000"/>
        </w:rPr>
        <w:t>The Institute for Humanities Research Seed Grant</w:t>
      </w:r>
    </w:p>
    <w:p w14:paraId="562F0750" w14:textId="77777777" w:rsidR="00915343" w:rsidRPr="001E6091" w:rsidRDefault="00915343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651729A3" w14:textId="0596F366" w:rsidR="001A5BCE" w:rsidRPr="001E6091" w:rsidRDefault="001A5BCE" w:rsidP="001E6091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The Institute for Humanities Research (IHR)</w:t>
      </w:r>
      <w:r w:rsidR="00691264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 xml:space="preserve">Seed Grant program is designed to provide support for </w:t>
      </w:r>
      <w:r w:rsidR="00691264">
        <w:rPr>
          <w:rFonts w:ascii="Times" w:hAnsi="Times"/>
        </w:rPr>
        <w:t>humanities</w:t>
      </w:r>
      <w:r w:rsidR="001E6091" w:rsidRPr="001E6091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projects</w:t>
      </w:r>
      <w:r w:rsidR="00915343" w:rsidRPr="001E6091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that advance the IHR’s mission of fostering research that addresses or explores significant social</w:t>
      </w:r>
      <w:r w:rsidR="001E6091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challenges in the past, present, and future, employing humanities or transdisciplinary methodologies.</w:t>
      </w:r>
      <w:r w:rsidR="00915343" w:rsidRPr="001E6091">
        <w:rPr>
          <w:rFonts w:ascii="Times" w:hAnsi="Times" w:cs="ømF»˛"/>
          <w:color w:val="000000"/>
        </w:rPr>
        <w:t xml:space="preserve"> </w:t>
      </w:r>
    </w:p>
    <w:p w14:paraId="4416D4E3" w14:textId="77777777" w:rsidR="005F0CA9" w:rsidRPr="001E6091" w:rsidRDefault="005F0CA9" w:rsidP="005F0CA9">
      <w:pPr>
        <w:pStyle w:val="Default"/>
        <w:rPr>
          <w:rFonts w:ascii="Times" w:hAnsi="Times"/>
        </w:rPr>
      </w:pPr>
    </w:p>
    <w:p w14:paraId="05E8CF04" w14:textId="3673DCBE" w:rsidR="00691264" w:rsidRPr="00691264" w:rsidRDefault="001A5BCE" w:rsidP="00691264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691264">
        <w:rPr>
          <w:rFonts w:ascii="Times" w:hAnsi="Times" w:cs="ømF»˛"/>
          <w:i/>
          <w:iCs/>
          <w:color w:val="000000"/>
        </w:rPr>
        <w:t>The purpose of this program is to develop a project to the point that it will be competitive for national grants and</w:t>
      </w:r>
      <w:r w:rsidR="001E6091" w:rsidRPr="00691264">
        <w:rPr>
          <w:rFonts w:ascii="Times" w:hAnsi="Times" w:cs="ømF»˛"/>
          <w:i/>
          <w:iCs/>
          <w:color w:val="000000"/>
        </w:rPr>
        <w:t xml:space="preserve"> </w:t>
      </w:r>
      <w:r w:rsidRPr="00691264">
        <w:rPr>
          <w:rFonts w:ascii="Times" w:hAnsi="Times" w:cs="ømF»˛"/>
          <w:i/>
          <w:iCs/>
          <w:color w:val="000000"/>
        </w:rPr>
        <w:t>major fellowships, which recipients commit to pursue.</w:t>
      </w:r>
      <w:r w:rsidRPr="00691264">
        <w:rPr>
          <w:rFonts w:ascii="Times" w:hAnsi="Times" w:cs="ømF»˛"/>
          <w:color w:val="000000"/>
        </w:rPr>
        <w:t xml:space="preserve"> </w:t>
      </w:r>
      <w:r w:rsidR="00D759AE">
        <w:rPr>
          <w:rFonts w:ascii="Times" w:hAnsi="Times" w:cs="ømF»˛"/>
          <w:color w:val="000000"/>
        </w:rPr>
        <w:t xml:space="preserve">IHR </w:t>
      </w:r>
      <w:r w:rsidR="00691264" w:rsidRPr="00691264">
        <w:rPr>
          <w:rFonts w:ascii="Times" w:hAnsi="Times" w:cs="ømF»˛"/>
        </w:rPr>
        <w:t>Seed Grants fund 12 months of work at two levels:</w:t>
      </w:r>
      <w:r w:rsidR="00691264" w:rsidRPr="00691264">
        <w:rPr>
          <w:rFonts w:ascii="Times" w:hAnsi="Times" w:cs="ømF»˛"/>
        </w:rPr>
        <w:t xml:space="preserve"> </w:t>
      </w:r>
      <w:r w:rsidR="00691264" w:rsidRPr="00691264">
        <w:rPr>
          <w:rFonts w:ascii="Times" w:hAnsi="Times" w:cs="ømF»˛"/>
        </w:rPr>
        <w:t>individual (up to $8,000) and team (up to $12,000).</w:t>
      </w:r>
      <w:r w:rsidR="00691264" w:rsidRPr="00691264">
        <w:rPr>
          <w:rFonts w:ascii="Times" w:hAnsi="Times" w:cs="ømF»˛"/>
          <w:color w:val="000000"/>
        </w:rPr>
        <w:t xml:space="preserve"> </w:t>
      </w:r>
      <w:r w:rsidR="001E6091" w:rsidRPr="00691264">
        <w:rPr>
          <w:rFonts w:ascii="Times" w:hAnsi="Times" w:cs="ømF»˛"/>
          <w:color w:val="000000"/>
        </w:rPr>
        <w:t xml:space="preserve">We currently follow two proposal cycles: grants with </w:t>
      </w:r>
      <w:r w:rsidR="00D759AE">
        <w:rPr>
          <w:rFonts w:ascii="Times" w:hAnsi="Times" w:cs="ømF»˛"/>
          <w:color w:val="000000"/>
        </w:rPr>
        <w:t>F</w:t>
      </w:r>
      <w:r w:rsidR="001E6091" w:rsidRPr="00691264">
        <w:rPr>
          <w:rFonts w:ascii="Times" w:hAnsi="Times" w:cs="ømF»˛"/>
          <w:color w:val="000000"/>
        </w:rPr>
        <w:t xml:space="preserve">all </w:t>
      </w:r>
      <w:r w:rsidR="00691264" w:rsidRPr="00691264">
        <w:rPr>
          <w:rFonts w:ascii="Times" w:hAnsi="Times" w:cs="ømF»˛"/>
          <w:color w:val="000000"/>
        </w:rPr>
        <w:t xml:space="preserve">semester </w:t>
      </w:r>
      <w:r w:rsidR="001E6091" w:rsidRPr="00691264">
        <w:rPr>
          <w:rFonts w:ascii="Times" w:hAnsi="Times" w:cs="ømF»˛"/>
          <w:color w:val="000000"/>
        </w:rPr>
        <w:t xml:space="preserve">deadlines are funded January 1-December 31, and those with </w:t>
      </w:r>
      <w:r w:rsidR="00D759AE">
        <w:rPr>
          <w:rFonts w:ascii="Times" w:hAnsi="Times" w:cs="ømF»˛"/>
          <w:color w:val="000000"/>
        </w:rPr>
        <w:t>S</w:t>
      </w:r>
      <w:r w:rsidR="001E6091" w:rsidRPr="00691264">
        <w:rPr>
          <w:rFonts w:ascii="Times" w:hAnsi="Times" w:cs="ømF»˛"/>
          <w:color w:val="000000"/>
        </w:rPr>
        <w:t xml:space="preserve">pring </w:t>
      </w:r>
      <w:r w:rsidR="00691264" w:rsidRPr="00691264">
        <w:rPr>
          <w:rFonts w:ascii="Times" w:hAnsi="Times" w:cs="ømF»˛"/>
          <w:color w:val="000000"/>
        </w:rPr>
        <w:t xml:space="preserve">semester </w:t>
      </w:r>
      <w:r w:rsidR="001E6091" w:rsidRPr="00691264">
        <w:rPr>
          <w:rFonts w:ascii="Times" w:hAnsi="Times" w:cs="ømF»˛"/>
          <w:color w:val="000000"/>
        </w:rPr>
        <w:t xml:space="preserve">deadlines are funded May 16-May 15. </w:t>
      </w:r>
    </w:p>
    <w:p w14:paraId="2A28D52A" w14:textId="77777777" w:rsidR="005F0CA9" w:rsidRPr="00691264" w:rsidRDefault="005F0CA9" w:rsidP="00691264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3FA00E02" w14:textId="23D37F7A" w:rsidR="001E6091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Recipients agree to</w:t>
      </w:r>
      <w:r w:rsidR="00691264">
        <w:rPr>
          <w:rFonts w:ascii="Times" w:hAnsi="Times" w:cs="ømF»˛"/>
          <w:color w:val="000000"/>
        </w:rPr>
        <w:t>:</w:t>
      </w:r>
    </w:p>
    <w:p w14:paraId="5003884C" w14:textId="77777777" w:rsidR="001E6091" w:rsidRDefault="001A5BCE" w:rsidP="001E60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 xml:space="preserve">pursue external funding at amounts well above the value of their award, </w:t>
      </w:r>
    </w:p>
    <w:p w14:paraId="71BEE229" w14:textId="77777777" w:rsidR="001E6091" w:rsidRDefault="001A5BCE" w:rsidP="001E60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submit one</w:t>
      </w:r>
      <w:r w:rsidR="001E6091" w:rsidRPr="001E6091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 xml:space="preserve">interim and one final report, </w:t>
      </w:r>
    </w:p>
    <w:p w14:paraId="62A82438" w14:textId="4182D7EA" w:rsidR="001E6091" w:rsidRDefault="001A5BCE" w:rsidP="001E60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help to generate publicity about the project for the IHR (such as writing a blog</w:t>
      </w:r>
      <w:r w:rsidR="001E6091" w:rsidRPr="001E6091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post or ASU News story or interview)</w:t>
      </w:r>
      <w:r w:rsidR="00626084">
        <w:rPr>
          <w:rFonts w:ascii="Times" w:hAnsi="Times" w:cs="ømF»˛"/>
          <w:color w:val="000000"/>
        </w:rPr>
        <w:t>,</w:t>
      </w:r>
    </w:p>
    <w:p w14:paraId="5CF45534" w14:textId="02B02298" w:rsidR="001A5BCE" w:rsidRPr="001E6091" w:rsidRDefault="001A5BCE" w:rsidP="001A5BC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disseminate their work to a larger public within and/or outside the ASU community. The format and scope of</w:t>
      </w:r>
      <w:r w:rsidR="001E6091" w:rsidRPr="001E6091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 xml:space="preserve">this public engagement are up to the project leads: </w:t>
      </w:r>
      <w:r w:rsidR="001E6091">
        <w:rPr>
          <w:rFonts w:ascii="Times" w:hAnsi="Times" w:cs="ømF»˛"/>
          <w:color w:val="000000"/>
        </w:rPr>
        <w:t xml:space="preserve">as examples, </w:t>
      </w:r>
      <w:r w:rsidRPr="001E6091">
        <w:rPr>
          <w:rFonts w:ascii="Times" w:hAnsi="Times" w:cs="ømF»˛"/>
          <w:color w:val="000000"/>
        </w:rPr>
        <w:t>past events range from a film series to symposia and panel</w:t>
      </w:r>
      <w:r w:rsidR="001E6091">
        <w:rPr>
          <w:rFonts w:ascii="Times" w:hAnsi="Times" w:cs="ømF»˛"/>
          <w:color w:val="000000"/>
        </w:rPr>
        <w:t xml:space="preserve"> presentations, </w:t>
      </w:r>
      <w:r w:rsidRPr="001E6091">
        <w:rPr>
          <w:rFonts w:ascii="Times" w:hAnsi="Times" w:cs="ømF»˛"/>
          <w:color w:val="000000"/>
        </w:rPr>
        <w:t>discussions, brownbag lectures, a specially-created card game</w:t>
      </w:r>
      <w:r w:rsidR="001E6091">
        <w:rPr>
          <w:rFonts w:ascii="Times" w:hAnsi="Times" w:cs="ømF»˛"/>
          <w:color w:val="000000"/>
        </w:rPr>
        <w:t xml:space="preserve">, and </w:t>
      </w:r>
      <w:r w:rsidRPr="001E6091">
        <w:rPr>
          <w:rFonts w:ascii="Times" w:hAnsi="Times" w:cs="ømF»˛"/>
          <w:color w:val="000000"/>
        </w:rPr>
        <w:t>public-facing writing and digital</w:t>
      </w:r>
      <w:r w:rsidR="001E6091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projects.</w:t>
      </w:r>
    </w:p>
    <w:p w14:paraId="3ADFF9FC" w14:textId="77777777" w:rsidR="001E6091" w:rsidRPr="001E6091" w:rsidRDefault="001E6091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247599D0" w14:textId="63F09E58" w:rsidR="001A5BCE" w:rsidRPr="001E6091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 xml:space="preserve">For questions or assistance with your application, contact </w:t>
      </w:r>
      <w:r w:rsidRPr="001E6091">
        <w:rPr>
          <w:rFonts w:ascii="Times" w:hAnsi="Times" w:cs="ømF»˛"/>
          <w:b/>
          <w:bCs/>
          <w:color w:val="000000"/>
        </w:rPr>
        <w:t>ihr@asu.edu</w:t>
      </w:r>
      <w:r w:rsidRPr="001E6091">
        <w:rPr>
          <w:rFonts w:ascii="Times" w:hAnsi="Times" w:cs="ømF»˛"/>
          <w:color w:val="000000"/>
        </w:rPr>
        <w:t xml:space="preserve"> or</w:t>
      </w:r>
      <w:r w:rsidR="001E6091">
        <w:rPr>
          <w:rFonts w:ascii="Times" w:hAnsi="Times" w:cs="ømF»˛"/>
          <w:color w:val="000000"/>
        </w:rPr>
        <w:t xml:space="preserve"> the Institute Director </w:t>
      </w:r>
      <w:r w:rsidRPr="001E6091">
        <w:rPr>
          <w:rFonts w:ascii="Times" w:hAnsi="Times" w:cs="ømF»˛"/>
          <w:b/>
          <w:bCs/>
          <w:color w:val="000000"/>
        </w:rPr>
        <w:t>Nicole.Anderson.1@asu.edu</w:t>
      </w:r>
      <w:r w:rsidRPr="001E6091">
        <w:rPr>
          <w:rFonts w:ascii="Times" w:hAnsi="Times" w:cs="ømF»˛"/>
          <w:color w:val="000000"/>
        </w:rPr>
        <w:t>.</w:t>
      </w:r>
    </w:p>
    <w:p w14:paraId="182AB80E" w14:textId="77777777" w:rsidR="00DF5122" w:rsidRDefault="00DF5122" w:rsidP="00DF5122">
      <w:pPr>
        <w:autoSpaceDE w:val="0"/>
        <w:autoSpaceDN w:val="0"/>
        <w:adjustRightInd w:val="0"/>
        <w:rPr>
          <w:rFonts w:ascii="Times" w:hAnsi="Times" w:cs="ømF»˛"/>
          <w:b/>
          <w:bCs/>
          <w:color w:val="000000"/>
        </w:rPr>
      </w:pPr>
    </w:p>
    <w:p w14:paraId="16D3A1D0" w14:textId="39764EEE" w:rsidR="00DF5122" w:rsidRDefault="00DF5122" w:rsidP="00DF5122">
      <w:pPr>
        <w:autoSpaceDE w:val="0"/>
        <w:autoSpaceDN w:val="0"/>
        <w:adjustRightInd w:val="0"/>
        <w:rPr>
          <w:rFonts w:ascii="Times" w:hAnsi="Times" w:cs="ømF»˛"/>
          <w:b/>
          <w:bCs/>
          <w:color w:val="000000"/>
        </w:rPr>
      </w:pPr>
      <w:r w:rsidRPr="00B14162">
        <w:rPr>
          <w:rFonts w:ascii="Times" w:hAnsi="Times" w:cs="ømF»˛"/>
          <w:b/>
          <w:bCs/>
          <w:color w:val="000000"/>
        </w:rPr>
        <w:t>Eligibility</w:t>
      </w:r>
      <w:r>
        <w:rPr>
          <w:rFonts w:ascii="Times" w:hAnsi="Times" w:cs="ømF»˛"/>
          <w:b/>
          <w:bCs/>
          <w:color w:val="000000"/>
        </w:rPr>
        <w:t xml:space="preserve"> of Applicant</w:t>
      </w:r>
      <w:r w:rsidRPr="00B14162">
        <w:rPr>
          <w:rFonts w:ascii="Times" w:hAnsi="Times" w:cs="ømF»˛"/>
          <w:b/>
          <w:bCs/>
          <w:color w:val="000000"/>
        </w:rPr>
        <w:t>:</w:t>
      </w:r>
    </w:p>
    <w:p w14:paraId="70B1C4A6" w14:textId="4D5CE439" w:rsidR="007830F7" w:rsidRPr="007830F7" w:rsidRDefault="00DF5122" w:rsidP="007830F7">
      <w:pPr>
        <w:autoSpaceDE w:val="0"/>
        <w:autoSpaceDN w:val="0"/>
        <w:adjustRightInd w:val="0"/>
        <w:rPr>
          <w:rFonts w:ascii="Times" w:hAnsi="Times" w:cs="ømF»˛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="007830F7" w:rsidRPr="007830F7">
        <w:rPr>
          <w:rFonts w:ascii="Times" w:hAnsi="Times" w:cs="ømF»˛"/>
        </w:rPr>
        <w:t>Applications are welcomed from faculty in any unit from any ASU campus, but must clearl</w:t>
      </w:r>
      <w:r w:rsidR="007830F7">
        <w:rPr>
          <w:rFonts w:ascii="Times" w:hAnsi="Times" w:cs="ømF»˛"/>
        </w:rPr>
        <w:t xml:space="preserve">y </w:t>
      </w:r>
      <w:r w:rsidR="007830F7" w:rsidRPr="007830F7">
        <w:rPr>
          <w:rFonts w:ascii="Times" w:hAnsi="Times" w:cs="ømF»˛"/>
        </w:rPr>
        <w:t xml:space="preserve">demonstrate </w:t>
      </w:r>
      <w:r w:rsidR="007830F7" w:rsidRPr="007830F7">
        <w:rPr>
          <w:rFonts w:ascii="Times" w:hAnsi="Times" w:cs="ømF»˛"/>
        </w:rPr>
        <w:t>that the p</w:t>
      </w:r>
      <w:r w:rsidR="007830F7" w:rsidRPr="007830F7">
        <w:rPr>
          <w:rFonts w:ascii="Times" w:hAnsi="Times" w:cs="ømF»˛"/>
        </w:rPr>
        <w:t>roposed project is rooted in humanities concerns and methods</w:t>
      </w:r>
      <w:r w:rsidR="007830F7" w:rsidRPr="007830F7">
        <w:rPr>
          <w:rFonts w:ascii="Times" w:hAnsi="Times" w:cs="ømF»˛"/>
        </w:rPr>
        <w:t xml:space="preserve"> and at </w:t>
      </w:r>
      <w:r w:rsidR="007830F7" w:rsidRPr="007830F7">
        <w:rPr>
          <w:rFonts w:ascii="Times" w:hAnsi="Times" w:cs="ømF»˛"/>
        </w:rPr>
        <w:t>least one PI must possess the humanities training and knowledge necessary to execute</w:t>
      </w:r>
    </w:p>
    <w:p w14:paraId="13509AFB" w14:textId="165659AA" w:rsidR="007830F7" w:rsidRPr="007830F7" w:rsidRDefault="007830F7" w:rsidP="007830F7">
      <w:pPr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7830F7">
        <w:rPr>
          <w:rFonts w:ascii="Times" w:hAnsi="Times" w:cs="ømF»˛"/>
        </w:rPr>
        <w:t>the proposed project</w:t>
      </w:r>
      <w:r w:rsidRPr="007830F7">
        <w:rPr>
          <w:rFonts w:ascii="Times" w:hAnsi="Times" w:cs="ømF»˛"/>
        </w:rPr>
        <w:t>.</w:t>
      </w:r>
      <w:r w:rsidRPr="007830F7">
        <w:rPr>
          <w:rFonts w:ascii="Times" w:hAnsi="Times" w:cs="Times New Roman"/>
          <w:color w:val="000000"/>
        </w:rPr>
        <w:t xml:space="preserve"> </w:t>
      </w:r>
    </w:p>
    <w:p w14:paraId="4B53ECDC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Advanced graduate students may be part of project teams but may not serve as PIs.</w:t>
      </w:r>
    </w:p>
    <w:p w14:paraId="6DB28059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Researchers and consultants from outside of ASU are welcomed as project team members, but are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not eligible for IHR funds beyond travel to ASU and/or honoraria as invited speakers.</w:t>
      </w:r>
    </w:p>
    <w:p w14:paraId="73F2BAA8" w14:textId="77777777" w:rsidR="00DF5122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41EFC7A0" w14:textId="77777777" w:rsidR="00DF5122" w:rsidRPr="008711D7" w:rsidRDefault="00DF5122" w:rsidP="00DF5122">
      <w:pPr>
        <w:autoSpaceDE w:val="0"/>
        <w:autoSpaceDN w:val="0"/>
        <w:adjustRightInd w:val="0"/>
        <w:rPr>
          <w:rFonts w:ascii="Times" w:hAnsi="Times" w:cs="ømF»˛"/>
          <w:b/>
          <w:bCs/>
          <w:color w:val="000000"/>
        </w:rPr>
      </w:pPr>
      <w:r w:rsidRPr="008711D7">
        <w:rPr>
          <w:rFonts w:ascii="Times" w:hAnsi="Times" w:cs="ømF»˛"/>
          <w:b/>
          <w:bCs/>
          <w:color w:val="000000"/>
        </w:rPr>
        <w:t>Restrictions:</w:t>
      </w:r>
    </w:p>
    <w:p w14:paraId="26CA2410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 xml:space="preserve">Preference will be given to PIs/co-PIs who have not received an IHR Seed Grant within the past </w:t>
      </w:r>
      <w:r>
        <w:rPr>
          <w:rFonts w:ascii="Times" w:hAnsi="Times" w:cs="ømF»˛"/>
          <w:color w:val="000000"/>
        </w:rPr>
        <w:t xml:space="preserve">three </w:t>
      </w:r>
      <w:r w:rsidRPr="001E6091">
        <w:rPr>
          <w:rFonts w:ascii="Times" w:hAnsi="Times" w:cs="ømF»˛"/>
          <w:color w:val="000000"/>
        </w:rPr>
        <w:t>years.</w:t>
      </w:r>
    </w:p>
    <w:p w14:paraId="33D6329C" w14:textId="723CCB8E" w:rsidR="00DF5122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Prior recipients of IHR Seed Grants and/or Fellowships, regardless of award date, will not be eligible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for further support until they have met their obligation to pursue external funding.</w:t>
      </w:r>
    </w:p>
    <w:p w14:paraId="215A0D89" w14:textId="16C5F97E" w:rsidR="00BC199F" w:rsidRDefault="00BC199F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79D5C9AF" w14:textId="77777777" w:rsidR="00BC199F" w:rsidRPr="004E1FD0" w:rsidRDefault="00BC199F" w:rsidP="00BC199F">
      <w:pPr>
        <w:autoSpaceDE w:val="0"/>
        <w:autoSpaceDN w:val="0"/>
        <w:adjustRightInd w:val="0"/>
        <w:rPr>
          <w:rFonts w:ascii="Times" w:hAnsi="Times" w:cs="ømF»˛"/>
          <w:b/>
          <w:bCs/>
          <w:color w:val="000000"/>
        </w:rPr>
      </w:pPr>
      <w:r w:rsidRPr="004E1FD0">
        <w:rPr>
          <w:rFonts w:ascii="Times" w:hAnsi="Times" w:cs="ømF»˛"/>
          <w:b/>
          <w:bCs/>
          <w:color w:val="000000"/>
        </w:rPr>
        <w:t>Eligible projects:</w:t>
      </w:r>
    </w:p>
    <w:p w14:paraId="19A72707" w14:textId="77777777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All time periods: historical to contemporary</w:t>
      </w:r>
    </w:p>
    <w:p w14:paraId="3C90F31D" w14:textId="77777777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Unlimited geographic locations: global to local</w:t>
      </w:r>
    </w:p>
    <w:p w14:paraId="1FCB6286" w14:textId="6CA227EE" w:rsidR="00BC199F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lastRenderedPageBreak/>
        <w:t xml:space="preserve">• </w:t>
      </w:r>
      <w:r w:rsidRPr="001E6091">
        <w:rPr>
          <w:rFonts w:ascii="Times" w:hAnsi="Times" w:cs="ømF»˛"/>
          <w:color w:val="000000"/>
        </w:rPr>
        <w:t xml:space="preserve">Significant humanities work </w:t>
      </w:r>
      <w:r w:rsidR="0038649B">
        <w:rPr>
          <w:rFonts w:ascii="Times" w:hAnsi="Times" w:cs="ømF»˛"/>
          <w:color w:val="000000"/>
        </w:rPr>
        <w:t>which may include</w:t>
      </w:r>
      <w:r>
        <w:rPr>
          <w:rFonts w:ascii="Times" w:hAnsi="Times" w:cs="ømF»˛"/>
          <w:color w:val="000000"/>
        </w:rPr>
        <w:t xml:space="preserve"> other</w:t>
      </w:r>
      <w:r w:rsidRPr="001E6091">
        <w:rPr>
          <w:rFonts w:ascii="Times" w:hAnsi="Times" w:cs="ømF»˛"/>
          <w:color w:val="000000"/>
        </w:rPr>
        <w:t xml:space="preserve"> disciplinary </w:t>
      </w:r>
      <w:r>
        <w:rPr>
          <w:rFonts w:ascii="Times" w:hAnsi="Times" w:cs="ømF»˛"/>
          <w:color w:val="000000"/>
        </w:rPr>
        <w:t>field</w:t>
      </w:r>
      <w:r w:rsidR="0038649B">
        <w:rPr>
          <w:rFonts w:ascii="Times" w:hAnsi="Times" w:cs="ømF»˛"/>
          <w:color w:val="000000"/>
        </w:rPr>
        <w:t xml:space="preserve">s (such as humanities and science studies) </w:t>
      </w:r>
    </w:p>
    <w:p w14:paraId="588F70FD" w14:textId="77777777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 xml:space="preserve">All formats: </w:t>
      </w:r>
      <w:r>
        <w:rPr>
          <w:rFonts w:ascii="Times" w:hAnsi="Times" w:cs="ømF»˛"/>
          <w:color w:val="000000"/>
        </w:rPr>
        <w:t xml:space="preserve">essay collections to public installations </w:t>
      </w:r>
      <w:r w:rsidRPr="001E6091">
        <w:rPr>
          <w:rFonts w:ascii="Times" w:hAnsi="Times" w:cs="ømF»˛"/>
          <w:color w:val="000000"/>
        </w:rPr>
        <w:t>to digital projects</w:t>
      </w:r>
    </w:p>
    <w:p w14:paraId="11EE909A" w14:textId="662199AF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="005B3E04">
        <w:rPr>
          <w:rFonts w:ascii="Times" w:hAnsi="Times" w:cs="Times New Roman"/>
          <w:color w:val="000000"/>
        </w:rPr>
        <w:t xml:space="preserve">Individual or </w:t>
      </w:r>
      <w:r w:rsidR="005B3E04">
        <w:rPr>
          <w:rFonts w:ascii="Times" w:hAnsi="Times" w:cs="ømF»˛"/>
          <w:color w:val="000000"/>
        </w:rPr>
        <w:t>t</w:t>
      </w:r>
      <w:r w:rsidRPr="001E6091">
        <w:rPr>
          <w:rFonts w:ascii="Times" w:hAnsi="Times" w:cs="ømF»˛"/>
          <w:color w:val="000000"/>
        </w:rPr>
        <w:t>eam-based research</w:t>
      </w:r>
    </w:p>
    <w:p w14:paraId="082E0CA3" w14:textId="77777777" w:rsidR="00BC199F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More than one output: book and journal articles, or journal articles and exhibition/digital project, or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book and exhibition, book and panel discussion or symposium, etc.</w:t>
      </w:r>
    </w:p>
    <w:p w14:paraId="69A76E87" w14:textId="77777777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57481C6A" w14:textId="77777777" w:rsidR="00BC199F" w:rsidRPr="004E1FD0" w:rsidRDefault="00BC199F" w:rsidP="00BC199F">
      <w:pPr>
        <w:autoSpaceDE w:val="0"/>
        <w:autoSpaceDN w:val="0"/>
        <w:adjustRightInd w:val="0"/>
        <w:rPr>
          <w:rFonts w:ascii="Times" w:hAnsi="Times" w:cs="ømF»˛"/>
          <w:b/>
          <w:bCs/>
          <w:color w:val="000000"/>
        </w:rPr>
      </w:pPr>
      <w:r w:rsidRPr="004E1FD0">
        <w:rPr>
          <w:rFonts w:ascii="Times" w:hAnsi="Times" w:cs="ømF»˛"/>
          <w:b/>
          <w:bCs/>
          <w:color w:val="000000"/>
        </w:rPr>
        <w:t>Ineligible projects:</w:t>
      </w:r>
    </w:p>
    <w:p w14:paraId="0476F384" w14:textId="09A0F30B" w:rsidR="00BC199F" w:rsidRDefault="00BC199F" w:rsidP="00BC199F">
      <w:pPr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>
        <w:rPr>
          <w:rFonts w:ascii="Times" w:hAnsi="Times" w:cs="Times New Roman"/>
          <w:color w:val="000000"/>
        </w:rPr>
        <w:t>Single author monographs</w:t>
      </w:r>
      <w:r w:rsidR="00B574BB">
        <w:rPr>
          <w:rFonts w:ascii="Times" w:hAnsi="Times" w:cs="Times New Roman"/>
          <w:color w:val="000000"/>
        </w:rPr>
        <w:t xml:space="preserve">. </w:t>
      </w:r>
      <w:r w:rsidR="00B574BB">
        <w:rPr>
          <w:rFonts w:ascii="Times" w:hAnsi="Times" w:cs="Times New Roman"/>
          <w:color w:val="000000"/>
        </w:rPr>
        <w:t>Single author monograph work is usually funded through the IHR Fellows program.</w:t>
      </w:r>
      <w:r>
        <w:rPr>
          <w:rFonts w:ascii="Times" w:hAnsi="Times" w:cs="Times New Roman"/>
          <w:color w:val="000000"/>
        </w:rPr>
        <w:t xml:space="preserve"> (</w:t>
      </w:r>
      <w:r w:rsidR="00B574BB">
        <w:rPr>
          <w:rFonts w:ascii="Times" w:hAnsi="Times" w:cs="Times New Roman"/>
          <w:color w:val="000000"/>
        </w:rPr>
        <w:t>E</w:t>
      </w:r>
      <w:r>
        <w:rPr>
          <w:rFonts w:ascii="Times" w:hAnsi="Times" w:cs="Times New Roman"/>
          <w:color w:val="000000"/>
        </w:rPr>
        <w:t xml:space="preserve">xceptions </w:t>
      </w:r>
      <w:r w:rsidR="00B574BB">
        <w:rPr>
          <w:rFonts w:ascii="Times" w:hAnsi="Times" w:cs="Times New Roman"/>
          <w:color w:val="000000"/>
        </w:rPr>
        <w:t>may</w:t>
      </w:r>
      <w:r>
        <w:rPr>
          <w:rFonts w:ascii="Times" w:hAnsi="Times" w:cs="Times New Roman"/>
          <w:color w:val="000000"/>
        </w:rPr>
        <w:t xml:space="preserve"> be made for books that have a high likelihood of external funding, for example a book on an aspect of Japanese history for which the Japanese government or a foundation has shown strong interest in providing their funding and would likely fund. Proof of such interest is required in the application.) </w:t>
      </w:r>
    </w:p>
    <w:p w14:paraId="6268BCBC" w14:textId="77777777" w:rsidR="00BC199F" w:rsidRPr="009A0541" w:rsidRDefault="00BC199F" w:rsidP="00BC199F">
      <w:pPr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9A0541">
        <w:rPr>
          <w:rFonts w:ascii="Times" w:hAnsi="Times" w:cs="ømF»˛"/>
          <w:color w:val="000000"/>
        </w:rPr>
        <w:t>Solely pedagogical or curriculum development projects</w:t>
      </w:r>
    </w:p>
    <w:p w14:paraId="671D5176" w14:textId="47C9C2C5" w:rsidR="00BC199F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Projects that only collect data without interpretation</w:t>
      </w:r>
    </w:p>
    <w:p w14:paraId="2241D669" w14:textId="52CB41A0" w:rsidR="00BC199F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001B3286" w14:textId="77777777" w:rsidR="00BC199F" w:rsidRPr="004E1FD0" w:rsidRDefault="00BC199F" w:rsidP="00BC199F">
      <w:pPr>
        <w:autoSpaceDE w:val="0"/>
        <w:autoSpaceDN w:val="0"/>
        <w:adjustRightInd w:val="0"/>
        <w:rPr>
          <w:rFonts w:ascii="Times" w:hAnsi="Times" w:cs="ømF»˛"/>
          <w:b/>
          <w:bCs/>
          <w:color w:val="000000"/>
        </w:rPr>
      </w:pPr>
      <w:r w:rsidRPr="004E1FD0">
        <w:rPr>
          <w:rFonts w:ascii="Times" w:hAnsi="Times" w:cs="ømF»˛"/>
          <w:b/>
          <w:bCs/>
          <w:color w:val="000000"/>
        </w:rPr>
        <w:t>Seed Grant outputs/outcomes:</w:t>
      </w:r>
    </w:p>
    <w:p w14:paraId="2E6DFDD8" w14:textId="77777777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External grant proposals (required)</w:t>
      </w:r>
    </w:p>
    <w:p w14:paraId="4CB02607" w14:textId="77777777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Public engagement (required; see above for possible formats and scope)</w:t>
      </w:r>
    </w:p>
    <w:p w14:paraId="1CAFCB9D" w14:textId="77777777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Conferences, symposia</w:t>
      </w:r>
    </w:p>
    <w:p w14:paraId="1F22FD2F" w14:textId="77777777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Development of new methodologies</w:t>
      </w:r>
    </w:p>
    <w:p w14:paraId="1C57C1ED" w14:textId="77777777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Development of new collaborations with external and/or internal faculty or communities.</w:t>
      </w:r>
    </w:p>
    <w:p w14:paraId="6DB7705F" w14:textId="77777777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Academic publications, such as book proposals and literature reviews</w:t>
      </w:r>
    </w:p>
    <w:p w14:paraId="315ECD18" w14:textId="77777777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Curricular impacts</w:t>
      </w:r>
      <w:r>
        <w:rPr>
          <w:rFonts w:ascii="Times" w:hAnsi="Times" w:cs="ømF»˛"/>
          <w:color w:val="000000"/>
        </w:rPr>
        <w:t>. W</w:t>
      </w:r>
      <w:r w:rsidRPr="001E6091">
        <w:rPr>
          <w:rFonts w:ascii="Times" w:hAnsi="Times" w:cs="ømF»˛"/>
          <w:color w:val="000000"/>
        </w:rPr>
        <w:t>hile strictly pedagogical projects are not eligible for IHR Seed Grant</w:t>
      </w:r>
    </w:p>
    <w:p w14:paraId="1CEEF0CE" w14:textId="77777777" w:rsidR="00BC199F" w:rsidRPr="001E6091" w:rsidRDefault="00BC199F" w:rsidP="00BC199F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funding, curricular impacts are welcome additional outcomes</w:t>
      </w:r>
      <w:r>
        <w:rPr>
          <w:rFonts w:ascii="Times" w:hAnsi="Times" w:cs="ømF»˛"/>
          <w:color w:val="000000"/>
        </w:rPr>
        <w:t>.</w:t>
      </w:r>
    </w:p>
    <w:p w14:paraId="3B605860" w14:textId="77777777" w:rsidR="00DF5122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7A2B1C36" w14:textId="77777777" w:rsidR="00DF5122" w:rsidRPr="00F76A9F" w:rsidRDefault="00DF5122" w:rsidP="00DF5122">
      <w:pPr>
        <w:autoSpaceDE w:val="0"/>
        <w:autoSpaceDN w:val="0"/>
        <w:adjustRightInd w:val="0"/>
        <w:rPr>
          <w:rFonts w:ascii="Times" w:hAnsi="Times" w:cs="ømF»˛"/>
          <w:b/>
          <w:bCs/>
          <w:color w:val="000000"/>
        </w:rPr>
      </w:pPr>
      <w:r w:rsidRPr="00F76A9F">
        <w:rPr>
          <w:rFonts w:ascii="Times" w:hAnsi="Times" w:cs="ømF»˛"/>
          <w:b/>
          <w:bCs/>
          <w:color w:val="000000"/>
        </w:rPr>
        <w:t>Selection criteria:</w:t>
      </w:r>
    </w:p>
    <w:p w14:paraId="62E62C71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Intellectual merit</w:t>
      </w:r>
    </w:p>
    <w:p w14:paraId="3343C963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Coherence</w:t>
      </w:r>
    </w:p>
    <w:p w14:paraId="4A91A8BD" w14:textId="77777777" w:rsidR="00DF5122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Significance of the research and of the project’s outcomes</w:t>
      </w:r>
    </w:p>
    <w:p w14:paraId="51034954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Innovative or transdisciplinary approaches or methodologies</w:t>
      </w:r>
    </w:p>
    <w:p w14:paraId="06210039" w14:textId="77777777" w:rsidR="00DF5122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Prospects for attracting external funding: priority will be given to applicants who can provide positive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feedback from external funding agency program officers.</w:t>
      </w:r>
    </w:p>
    <w:p w14:paraId="3B1242FB" w14:textId="77777777" w:rsidR="00DF5122" w:rsidRDefault="00DF5122" w:rsidP="00DF5122">
      <w:pPr>
        <w:autoSpaceDE w:val="0"/>
        <w:autoSpaceDN w:val="0"/>
        <w:adjustRightInd w:val="0"/>
        <w:ind w:left="72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Selected agencies recently applied to by IHR funding recipients: American Academy of Religion;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American Council of Learned Societies; AZ Humanities; Chiang Ching-</w:t>
      </w:r>
      <w:proofErr w:type="spellStart"/>
      <w:r w:rsidRPr="001E6091">
        <w:rPr>
          <w:rFonts w:ascii="Times" w:hAnsi="Times" w:cs="ømF»˛"/>
          <w:color w:val="000000"/>
        </w:rPr>
        <w:t>kuo</w:t>
      </w:r>
      <w:proofErr w:type="spellEnd"/>
      <w:r w:rsidRPr="001E6091">
        <w:rPr>
          <w:rFonts w:ascii="Times" w:hAnsi="Times" w:cs="ømF»˛"/>
          <w:color w:val="000000"/>
        </w:rPr>
        <w:t xml:space="preserve"> Foundation; US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Department of State; John Simon Guggenheim Foundation; Henry Luce Foundation; Institute of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International Education; National Endowment for the Humanities; National Science Foundation;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Women and Philanthropy.</w:t>
      </w:r>
    </w:p>
    <w:p w14:paraId="46A05A78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10BB8BC8" w14:textId="77777777" w:rsidR="00DF5122" w:rsidRPr="005A1146" w:rsidRDefault="00DF5122" w:rsidP="00DF5122">
      <w:pPr>
        <w:autoSpaceDE w:val="0"/>
        <w:autoSpaceDN w:val="0"/>
        <w:adjustRightInd w:val="0"/>
        <w:rPr>
          <w:rFonts w:ascii="Times" w:hAnsi="Times" w:cs="ømF»˛"/>
          <w:b/>
          <w:bCs/>
          <w:color w:val="000000"/>
        </w:rPr>
      </w:pPr>
      <w:r w:rsidRPr="005A1146">
        <w:rPr>
          <w:rFonts w:ascii="Times" w:hAnsi="Times" w:cs="ømF»˛"/>
          <w:b/>
          <w:bCs/>
          <w:color w:val="000000"/>
        </w:rPr>
        <w:t>Selection process:</w:t>
      </w:r>
    </w:p>
    <w:p w14:paraId="05EE3780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 xml:space="preserve">Seed Grant proposals undergo full review by the Grants and Awards </w:t>
      </w:r>
      <w:r>
        <w:rPr>
          <w:rFonts w:ascii="Times" w:hAnsi="Times" w:cs="ømF»˛"/>
          <w:color w:val="000000"/>
        </w:rPr>
        <w:t xml:space="preserve">Review </w:t>
      </w:r>
      <w:r w:rsidRPr="001E6091">
        <w:rPr>
          <w:rFonts w:ascii="Times" w:hAnsi="Times" w:cs="ømF»˛"/>
          <w:color w:val="000000"/>
        </w:rPr>
        <w:t>Committee.</w:t>
      </w:r>
    </w:p>
    <w:p w14:paraId="1ED3D3B0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Proposals will receive one of the following ratings: accepted for funding (with the possibility of minor revisions);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revise and resubmit; ineligible/declined.</w:t>
      </w:r>
    </w:p>
    <w:p w14:paraId="3F6CC487" w14:textId="77777777" w:rsidR="00DF5122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4ABC54B8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The Board may decide to fund a project at a lower level than the requested budget amount.</w:t>
      </w:r>
    </w:p>
    <w:p w14:paraId="360B0357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lastRenderedPageBreak/>
        <w:t>When possible, decisions will be announced within six weeks of the application deadline. All applicants,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regardless of outcome, are encouraged to meet with IHR personnel to receive the Committee’s feedback on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their proposal.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All budget items must be justified by clearly explaining how requested amounts were calculated and how</w:t>
      </w:r>
      <w:r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each budget item is essential to your project.</w:t>
      </w:r>
    </w:p>
    <w:p w14:paraId="4B824A76" w14:textId="77777777" w:rsidR="009A0541" w:rsidRPr="001E6091" w:rsidRDefault="009A0541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5F7B363B" w14:textId="77777777" w:rsidR="004E1FD0" w:rsidRPr="004E1FD0" w:rsidRDefault="004E1FD0" w:rsidP="001A5BCE">
      <w:pPr>
        <w:autoSpaceDE w:val="0"/>
        <w:autoSpaceDN w:val="0"/>
        <w:adjustRightInd w:val="0"/>
        <w:rPr>
          <w:rFonts w:ascii="Times" w:hAnsi="Times" w:cs="Times New Roman"/>
          <w:b/>
          <w:bCs/>
          <w:color w:val="000000"/>
        </w:rPr>
      </w:pPr>
      <w:r w:rsidRPr="004E1FD0">
        <w:rPr>
          <w:rFonts w:ascii="Times" w:hAnsi="Times" w:cs="ømF»˛"/>
          <w:b/>
          <w:bCs/>
        </w:rPr>
        <w:t>Allowable expenses:</w:t>
      </w:r>
      <w:r w:rsidRPr="004E1FD0">
        <w:rPr>
          <w:rFonts w:ascii="Times" w:hAnsi="Times" w:cs="Times New Roman"/>
          <w:b/>
          <w:bCs/>
          <w:color w:val="000000"/>
        </w:rPr>
        <w:t xml:space="preserve"> </w:t>
      </w:r>
    </w:p>
    <w:p w14:paraId="7F4895E0" w14:textId="5C08FA67" w:rsidR="001A5BCE" w:rsidRPr="001E6091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Honoraria and travel for external consultants/visiting scholars</w:t>
      </w:r>
    </w:p>
    <w:p w14:paraId="1EAAB580" w14:textId="77777777" w:rsidR="001A5BCE" w:rsidRPr="001E6091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Travel: field work, archival work, etc.</w:t>
      </w:r>
    </w:p>
    <w:p w14:paraId="5CDDE88D" w14:textId="30DA7A1D" w:rsidR="001A5BCE" w:rsidRPr="001E6091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Course release (The PI’s unit director must state in writing that course release will be granted and</w:t>
      </w:r>
      <w:r w:rsidR="003641DB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indicate dollar amount needed to cover course release (maximum $</w:t>
      </w:r>
      <w:r w:rsidR="007F7FB8">
        <w:rPr>
          <w:rFonts w:ascii="Times" w:hAnsi="Times" w:cs="ømF»˛"/>
          <w:color w:val="000000"/>
        </w:rPr>
        <w:t>4</w:t>
      </w:r>
      <w:r w:rsidR="003641DB">
        <w:rPr>
          <w:rFonts w:ascii="Times" w:hAnsi="Times" w:cs="ømF»˛"/>
          <w:color w:val="000000"/>
        </w:rPr>
        <w:t>,</w:t>
      </w:r>
      <w:r w:rsidR="007F7FB8">
        <w:rPr>
          <w:rFonts w:ascii="Times" w:hAnsi="Times" w:cs="ømF»˛"/>
          <w:color w:val="000000"/>
        </w:rPr>
        <w:t>75</w:t>
      </w:r>
      <w:r w:rsidR="003641DB">
        <w:rPr>
          <w:rFonts w:ascii="Times" w:hAnsi="Times" w:cs="ømF»˛"/>
          <w:color w:val="000000"/>
        </w:rPr>
        <w:t>0</w:t>
      </w:r>
      <w:r w:rsidRPr="001E6091">
        <w:rPr>
          <w:rFonts w:ascii="Times" w:hAnsi="Times" w:cs="ømF»˛"/>
          <w:color w:val="000000"/>
        </w:rPr>
        <w:t>)</w:t>
      </w:r>
    </w:p>
    <w:p w14:paraId="482F642E" w14:textId="77777777" w:rsidR="001A5BCE" w:rsidRPr="001E6091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 xml:space="preserve">Research materials and supplies (no equipment, </w:t>
      </w:r>
      <w:proofErr w:type="gramStart"/>
      <w:r w:rsidRPr="001E6091">
        <w:rPr>
          <w:rFonts w:ascii="Times" w:hAnsi="Times" w:cs="ømF»˛"/>
          <w:color w:val="000000"/>
        </w:rPr>
        <w:t>e.g.</w:t>
      </w:r>
      <w:proofErr w:type="gramEnd"/>
      <w:r w:rsidRPr="001E6091">
        <w:rPr>
          <w:rFonts w:ascii="Times" w:hAnsi="Times" w:cs="ømF»˛"/>
          <w:color w:val="000000"/>
        </w:rPr>
        <w:t xml:space="preserve"> computers)</w:t>
      </w:r>
    </w:p>
    <w:p w14:paraId="5D231552" w14:textId="77777777" w:rsidR="001A5BCE" w:rsidRPr="001E6091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Student research assistance (hired as an hourly student worker)</w:t>
      </w:r>
    </w:p>
    <w:p w14:paraId="25F5D81D" w14:textId="343B9996" w:rsidR="001A5BCE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Partial support for a conference or other public event (PIs may seek matching funds from other units)</w:t>
      </w:r>
    </w:p>
    <w:p w14:paraId="6D7FE4AF" w14:textId="5E74FB91" w:rsidR="00DF5122" w:rsidRDefault="00DF5122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688AC5B0" w14:textId="77777777" w:rsidR="00DF5122" w:rsidRPr="00DF5122" w:rsidRDefault="00DF5122" w:rsidP="00DF5122">
      <w:pPr>
        <w:autoSpaceDE w:val="0"/>
        <w:autoSpaceDN w:val="0"/>
        <w:adjustRightInd w:val="0"/>
        <w:rPr>
          <w:rFonts w:ascii="Times" w:hAnsi="Times" w:cs="ømF»˛"/>
          <w:b/>
          <w:bCs/>
          <w:color w:val="000000"/>
        </w:rPr>
      </w:pPr>
      <w:r w:rsidRPr="00DF5122">
        <w:rPr>
          <w:rFonts w:ascii="Times" w:hAnsi="Times" w:cs="ømF»˛"/>
          <w:b/>
          <w:bCs/>
          <w:color w:val="000000"/>
        </w:rPr>
        <w:t>Restricted expenses:</w:t>
      </w:r>
    </w:p>
    <w:p w14:paraId="2ECED737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Food may account for no more than 10% of your budget (per diem allowances for visiting</w:t>
      </w:r>
    </w:p>
    <w:p w14:paraId="5023307F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scholars are exempt from this percentage)</w:t>
      </w:r>
    </w:p>
    <w:p w14:paraId="710857F8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Individual meals may not exceed $40/person</w:t>
      </w:r>
    </w:p>
    <w:p w14:paraId="6823AB25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Tips of any kind cannot exceed 20% of the service total before taxes</w:t>
      </w:r>
    </w:p>
    <w:p w14:paraId="48E3DC64" w14:textId="4FB7FC72" w:rsidR="00DF5122" w:rsidRDefault="00DF5122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Book purchases must be well justified and are limited to $100 total</w:t>
      </w:r>
      <w:r>
        <w:rPr>
          <w:rFonts w:ascii="Times" w:hAnsi="Times" w:cs="ømF»˛"/>
          <w:color w:val="000000"/>
        </w:rPr>
        <w:br/>
      </w:r>
    </w:p>
    <w:p w14:paraId="55F72989" w14:textId="77777777" w:rsidR="00DF5122" w:rsidRPr="00DF5122" w:rsidRDefault="00DF5122" w:rsidP="00DF5122">
      <w:pPr>
        <w:autoSpaceDE w:val="0"/>
        <w:autoSpaceDN w:val="0"/>
        <w:adjustRightInd w:val="0"/>
        <w:rPr>
          <w:rFonts w:ascii="Times" w:hAnsi="Times" w:cs="ømF»˛"/>
          <w:b/>
          <w:bCs/>
          <w:color w:val="000000"/>
        </w:rPr>
      </w:pPr>
      <w:r w:rsidRPr="00DF5122">
        <w:rPr>
          <w:rFonts w:ascii="Times" w:hAnsi="Times" w:cs="ømF»˛"/>
          <w:b/>
          <w:bCs/>
          <w:color w:val="000000"/>
        </w:rPr>
        <w:t>Unallowable expenses</w:t>
      </w:r>
    </w:p>
    <w:p w14:paraId="0601536D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>
        <w:rPr>
          <w:rFonts w:ascii="Times" w:hAnsi="Times" w:cs="ømF»˛"/>
          <w:color w:val="000000"/>
        </w:rPr>
        <w:t>T</w:t>
      </w:r>
      <w:r w:rsidRPr="001E6091">
        <w:rPr>
          <w:rFonts w:ascii="Times" w:hAnsi="Times" w:cs="ømF»˛"/>
          <w:color w:val="000000"/>
        </w:rPr>
        <w:t>he list below contains the most-frequently requested unallowable expenses; novel requests may</w:t>
      </w:r>
    </w:p>
    <w:p w14:paraId="7BEA2A3A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be investigated by your unit’s Business Operations officers and declined according to ASU policy.</w:t>
      </w:r>
    </w:p>
    <w:p w14:paraId="6162E4A9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Alcohol</w:t>
      </w:r>
    </w:p>
    <w:p w14:paraId="29EB0F52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Stipends</w:t>
      </w:r>
    </w:p>
    <w:p w14:paraId="39B79428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Graduate student RAs/TAs; hourly student workers are eligible: see below for more information</w:t>
      </w:r>
    </w:p>
    <w:p w14:paraId="52BB946D" w14:textId="77777777" w:rsidR="00DF5122" w:rsidRPr="001E6091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Capital expenses (laptops, desktop computers, certain kinds of equipment, etc.)</w:t>
      </w:r>
    </w:p>
    <w:p w14:paraId="013A07E5" w14:textId="77777777" w:rsidR="00DF5122" w:rsidRDefault="00DF5122" w:rsidP="00DF5122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Required fees/charges</w:t>
      </w:r>
    </w:p>
    <w:p w14:paraId="605C74BC" w14:textId="77777777" w:rsidR="00DF5122" w:rsidRPr="001E6091" w:rsidRDefault="00DF5122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3ACA0085" w14:textId="77777777" w:rsidR="001A5BCE" w:rsidRPr="001E6091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 xml:space="preserve">All ASU awards entail </w:t>
      </w:r>
      <w:r w:rsidRPr="00CC468A">
        <w:rPr>
          <w:rFonts w:ascii="Times" w:hAnsi="Times" w:cs="ømF»˛"/>
          <w:b/>
          <w:bCs/>
          <w:color w:val="000000"/>
        </w:rPr>
        <w:t>three mandatory fees</w:t>
      </w:r>
      <w:r w:rsidRPr="001E6091">
        <w:rPr>
          <w:rFonts w:ascii="Times" w:hAnsi="Times" w:cs="ømF»˛"/>
          <w:color w:val="000000"/>
        </w:rPr>
        <w:t>, all of which are included in the budget table:</w:t>
      </w:r>
    </w:p>
    <w:p w14:paraId="0431115D" w14:textId="1A232AC8" w:rsidR="001A5BCE" w:rsidRPr="001E6091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ASC (‘Administrative Service Charge’): a charge of 8.5% will be assessed to all budget items. This</w:t>
      </w:r>
      <w:r w:rsidR="008351B0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amount is to be included in the total of your award, not added on top of it: so, for example, an award</w:t>
      </w:r>
      <w:r w:rsidR="008351B0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with a bottom line of $9,000 contains $8,295 in direct costs and $705 in ASC.</w:t>
      </w:r>
    </w:p>
    <w:p w14:paraId="3F9C855F" w14:textId="7A4605FC" w:rsidR="001A5BCE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ERE (‘Employee Related Expenses’, aka fringe benefits): these rates vary according to personnel</w:t>
      </w:r>
      <w:r w:rsidR="008351B0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category and change every year. The budget table in the application form reflects the current rates for</w:t>
      </w:r>
      <w:r w:rsidR="008351B0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 xml:space="preserve">hourly student workers. Note that this figure also includes the 2.5% </w:t>
      </w:r>
      <w:proofErr w:type="spellStart"/>
      <w:r w:rsidRPr="001E6091">
        <w:rPr>
          <w:rFonts w:ascii="Times" w:hAnsi="Times" w:cs="ømF»˛"/>
          <w:color w:val="000000"/>
        </w:rPr>
        <w:t>Netcomm</w:t>
      </w:r>
      <w:proofErr w:type="spellEnd"/>
      <w:r w:rsidRPr="001E6091">
        <w:rPr>
          <w:rFonts w:ascii="Times" w:hAnsi="Times" w:cs="ømF»˛"/>
          <w:color w:val="000000"/>
        </w:rPr>
        <w:t>/Risk surcharge, per</w:t>
      </w:r>
      <w:r w:rsidR="008351B0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university policy.</w:t>
      </w:r>
    </w:p>
    <w:p w14:paraId="6B607E1E" w14:textId="77777777" w:rsidR="008351B0" w:rsidRPr="001E6091" w:rsidRDefault="008351B0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08B64AD5" w14:textId="77777777" w:rsidR="008351B0" w:rsidRPr="008351B0" w:rsidRDefault="001A5BCE" w:rsidP="001A5BCE">
      <w:pPr>
        <w:autoSpaceDE w:val="0"/>
        <w:autoSpaceDN w:val="0"/>
        <w:adjustRightInd w:val="0"/>
        <w:rPr>
          <w:rFonts w:ascii="Times" w:hAnsi="Times" w:cs="ømF»˛"/>
          <w:b/>
          <w:bCs/>
          <w:color w:val="000000"/>
        </w:rPr>
      </w:pPr>
      <w:r w:rsidRPr="008351B0">
        <w:rPr>
          <w:rFonts w:ascii="Times" w:hAnsi="Times" w:cs="ømF»˛"/>
          <w:b/>
          <w:bCs/>
          <w:color w:val="000000"/>
        </w:rPr>
        <w:t xml:space="preserve">Further guidelines: </w:t>
      </w:r>
    </w:p>
    <w:p w14:paraId="3AFDEA37" w14:textId="77777777" w:rsidR="008351B0" w:rsidRDefault="008351B0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72B55B96" w14:textId="6F27ECED" w:rsidR="001A5BCE" w:rsidRPr="001E6091" w:rsidRDefault="008351B0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>
        <w:rPr>
          <w:rFonts w:ascii="Times" w:hAnsi="Times" w:cs="ømF»˛"/>
          <w:color w:val="000000"/>
        </w:rPr>
        <w:t>B</w:t>
      </w:r>
      <w:r w:rsidR="001A5BCE" w:rsidRPr="001E6091">
        <w:rPr>
          <w:rFonts w:ascii="Times" w:hAnsi="Times" w:cs="ømF»˛"/>
          <w:color w:val="000000"/>
        </w:rPr>
        <w:t>udget categories</w:t>
      </w:r>
    </w:p>
    <w:p w14:paraId="108733C8" w14:textId="07DE03A9" w:rsidR="001A5BCE" w:rsidRPr="008351B0" w:rsidRDefault="001A5BCE" w:rsidP="008351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8351B0">
        <w:rPr>
          <w:rFonts w:ascii="Times" w:hAnsi="Times" w:cs="ømF»˛"/>
          <w:color w:val="000000"/>
        </w:rPr>
        <w:lastRenderedPageBreak/>
        <w:t>Student workers: You may hire hourly student workers (undergraduate or graduate) to assist with your</w:t>
      </w:r>
      <w:r w:rsidR="008351B0" w:rsidRPr="008351B0">
        <w:rPr>
          <w:rFonts w:ascii="Times" w:hAnsi="Times" w:cs="ømF»˛"/>
          <w:color w:val="000000"/>
        </w:rPr>
        <w:t xml:space="preserve"> </w:t>
      </w:r>
      <w:r w:rsidRPr="008351B0">
        <w:rPr>
          <w:rFonts w:ascii="Times" w:hAnsi="Times" w:cs="ømF»˛"/>
          <w:color w:val="000000"/>
        </w:rPr>
        <w:t xml:space="preserve">project. See </w:t>
      </w:r>
      <w:hyperlink r:id="rId5" w:anchor=":~:text=Standard%20Wage%20Scale,should%20not%20exceed%20%2450.00%2Fhour." w:history="1">
        <w:r w:rsidRPr="00CC468A">
          <w:rPr>
            <w:rStyle w:val="Hyperlink"/>
            <w:rFonts w:ascii="Times" w:hAnsi="Times" w:cs="ømF»˛"/>
          </w:rPr>
          <w:t>here</w:t>
        </w:r>
      </w:hyperlink>
      <w:r w:rsidRPr="008351B0">
        <w:rPr>
          <w:rFonts w:ascii="Times" w:hAnsi="Times" w:cs="ømF»˛"/>
          <w:color w:val="0563C2"/>
        </w:rPr>
        <w:t xml:space="preserve"> </w:t>
      </w:r>
      <w:r w:rsidRPr="008351B0">
        <w:rPr>
          <w:rFonts w:ascii="Times" w:hAnsi="Times" w:cs="ømF»˛"/>
          <w:color w:val="000000"/>
        </w:rPr>
        <w:t>for ASU’s standard wage scale for student workers.</w:t>
      </w:r>
    </w:p>
    <w:p w14:paraId="28E53A22" w14:textId="3FE55741" w:rsidR="001A5BCE" w:rsidRPr="008351B0" w:rsidRDefault="001A5BCE" w:rsidP="001A5B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8351B0">
        <w:rPr>
          <w:rFonts w:ascii="Times" w:hAnsi="Times" w:cs="ømF»˛"/>
          <w:color w:val="000000"/>
        </w:rPr>
        <w:t>Honoraria: You may use Seed Grant funds toward honoraria for invited speakers/scholars</w:t>
      </w:r>
      <w:r w:rsidR="008351B0">
        <w:rPr>
          <w:rFonts w:ascii="Times" w:hAnsi="Times" w:cs="ømF»˛"/>
          <w:color w:val="000000"/>
        </w:rPr>
        <w:t xml:space="preserve"> (with a r</w:t>
      </w:r>
      <w:r w:rsidRPr="008351B0">
        <w:rPr>
          <w:rFonts w:ascii="Times" w:hAnsi="Times" w:cs="ømF»˛"/>
          <w:color w:val="000000"/>
        </w:rPr>
        <w:t>ecommended range</w:t>
      </w:r>
      <w:r w:rsidR="008351B0">
        <w:rPr>
          <w:rFonts w:ascii="Times" w:hAnsi="Times" w:cs="ømF»˛"/>
          <w:color w:val="000000"/>
        </w:rPr>
        <w:t xml:space="preserve"> of </w:t>
      </w:r>
      <w:r w:rsidRPr="008351B0">
        <w:rPr>
          <w:rFonts w:ascii="Times" w:hAnsi="Times" w:cs="ømF»˛"/>
          <w:color w:val="000000"/>
        </w:rPr>
        <w:t>$100-500)</w:t>
      </w:r>
      <w:r w:rsidR="008351B0">
        <w:rPr>
          <w:rFonts w:ascii="Times" w:hAnsi="Times" w:cs="ømF»˛"/>
          <w:color w:val="000000"/>
        </w:rPr>
        <w:t>.</w:t>
      </w:r>
    </w:p>
    <w:p w14:paraId="7FBD65CA" w14:textId="3B83251B" w:rsidR="001A5BCE" w:rsidRPr="008351B0" w:rsidRDefault="001A5BCE" w:rsidP="008351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8351B0">
        <w:rPr>
          <w:rFonts w:ascii="Times" w:hAnsi="Times" w:cs="ømF»˛"/>
          <w:color w:val="000000"/>
        </w:rPr>
        <w:t>Travel: Funds may be requested for researcher travel outside of ASU and for travel by visiting speakers and</w:t>
      </w:r>
      <w:r w:rsidR="008351B0" w:rsidRPr="008351B0">
        <w:rPr>
          <w:rFonts w:ascii="Times" w:hAnsi="Times" w:cs="ømF»˛"/>
          <w:color w:val="000000"/>
        </w:rPr>
        <w:t xml:space="preserve"> </w:t>
      </w:r>
      <w:r w:rsidRPr="008351B0">
        <w:rPr>
          <w:rFonts w:ascii="Times" w:hAnsi="Times" w:cs="ømF»˛"/>
          <w:color w:val="000000"/>
        </w:rPr>
        <w:t>scholars to ASU. Requests for travel funds may not exceed the established ASU per diem rate for each</w:t>
      </w:r>
      <w:r w:rsidR="008351B0" w:rsidRPr="008351B0">
        <w:rPr>
          <w:rFonts w:ascii="Times" w:hAnsi="Times" w:cs="ømF»˛"/>
          <w:color w:val="000000"/>
        </w:rPr>
        <w:t xml:space="preserve"> </w:t>
      </w:r>
      <w:r w:rsidRPr="008351B0">
        <w:rPr>
          <w:rFonts w:ascii="Times" w:hAnsi="Times" w:cs="ømF»˛"/>
          <w:color w:val="000000"/>
        </w:rPr>
        <w:t xml:space="preserve">destination. Local, US, and international rates may be found </w:t>
      </w:r>
      <w:hyperlink r:id="rId6" w:history="1">
        <w:r w:rsidRPr="00CC468A">
          <w:rPr>
            <w:rStyle w:val="Hyperlink"/>
            <w:rFonts w:ascii="Times" w:hAnsi="Times" w:cs="ømF»˛"/>
          </w:rPr>
          <w:t>here</w:t>
        </w:r>
      </w:hyperlink>
      <w:r w:rsidRPr="008351B0">
        <w:rPr>
          <w:rFonts w:ascii="Times" w:hAnsi="Times" w:cs="ømF»˛"/>
          <w:color w:val="000000"/>
        </w:rPr>
        <w:t>. Note that these rates vary by season, with</w:t>
      </w:r>
      <w:r w:rsidR="008351B0" w:rsidRPr="008351B0">
        <w:rPr>
          <w:rFonts w:ascii="Times" w:hAnsi="Times" w:cs="ømF»˛"/>
          <w:color w:val="000000"/>
        </w:rPr>
        <w:t xml:space="preserve"> </w:t>
      </w:r>
      <w:r w:rsidRPr="008351B0">
        <w:rPr>
          <w:rFonts w:ascii="Times" w:hAnsi="Times" w:cs="ømF»˛"/>
          <w:color w:val="000000"/>
        </w:rPr>
        <w:t>the highest prices in the Phoenix area occurring January-April.</w:t>
      </w:r>
    </w:p>
    <w:p w14:paraId="5EC0BCDC" w14:textId="79249D93" w:rsidR="001A5BCE" w:rsidRPr="0000720C" w:rsidRDefault="001A5BCE" w:rsidP="000072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00720C">
        <w:rPr>
          <w:rFonts w:ascii="Times" w:hAnsi="Times" w:cs="ømF»˛"/>
          <w:color w:val="000000"/>
        </w:rPr>
        <w:t>Public event: We suggest that you include some funding for beverages for a brown bag, light refreshments for</w:t>
      </w:r>
      <w:r w:rsidR="008351B0" w:rsidRPr="0000720C">
        <w:rPr>
          <w:rFonts w:ascii="Times" w:hAnsi="Times" w:cs="ømF»˛"/>
          <w:color w:val="000000"/>
        </w:rPr>
        <w:t xml:space="preserve"> </w:t>
      </w:r>
      <w:r w:rsidRPr="0000720C">
        <w:rPr>
          <w:rFonts w:ascii="Times" w:hAnsi="Times" w:cs="ømF»˛"/>
          <w:color w:val="000000"/>
        </w:rPr>
        <w:t>a conference, etc.</w:t>
      </w:r>
    </w:p>
    <w:p w14:paraId="0CBD243B" w14:textId="60225E56" w:rsidR="001A5BCE" w:rsidRPr="0000720C" w:rsidRDefault="001A5BCE" w:rsidP="001A5B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00720C">
        <w:rPr>
          <w:rFonts w:ascii="Times" w:hAnsi="Times" w:cs="ømF»˛"/>
          <w:color w:val="000000"/>
        </w:rPr>
        <w:t>Event recording: Budget requests for recording public events will be considered on a case-by-case basis.</w:t>
      </w:r>
      <w:r w:rsidR="0000720C">
        <w:rPr>
          <w:rFonts w:ascii="Times" w:hAnsi="Times" w:cs="ømF»˛"/>
          <w:color w:val="000000"/>
        </w:rPr>
        <w:t xml:space="preserve"> </w:t>
      </w:r>
      <w:r w:rsidRPr="0000720C">
        <w:rPr>
          <w:rFonts w:ascii="Times" w:hAnsi="Times" w:cs="ømF»˛"/>
          <w:color w:val="000000"/>
        </w:rPr>
        <w:t xml:space="preserve">Contact </w:t>
      </w:r>
      <w:hyperlink r:id="rId7" w:history="1">
        <w:r w:rsidRPr="00CC468A">
          <w:rPr>
            <w:rStyle w:val="Hyperlink"/>
            <w:rFonts w:ascii="Times" w:hAnsi="Times" w:cs="ømF»˛"/>
          </w:rPr>
          <w:t>Student Media Creative Video</w:t>
        </w:r>
      </w:hyperlink>
      <w:r w:rsidRPr="0000720C">
        <w:rPr>
          <w:rFonts w:ascii="Times" w:hAnsi="Times" w:cs="ømF»˛"/>
          <w:color w:val="000000"/>
        </w:rPr>
        <w:t xml:space="preserve"> recording for rates: Dan Dickson, Director, Student Creative Services</w:t>
      </w:r>
      <w:r w:rsidR="0000720C">
        <w:rPr>
          <w:rFonts w:ascii="Times" w:hAnsi="Times" w:cs="ømF»˛"/>
          <w:color w:val="000000"/>
        </w:rPr>
        <w:t xml:space="preserve"> </w:t>
      </w:r>
      <w:r w:rsidRPr="0000720C">
        <w:rPr>
          <w:rFonts w:ascii="Times" w:hAnsi="Times" w:cs="ømF»˛"/>
          <w:color w:val="000000"/>
        </w:rPr>
        <w:t xml:space="preserve">(480-727-8522, </w:t>
      </w:r>
      <w:r w:rsidRPr="0000720C">
        <w:rPr>
          <w:rFonts w:ascii="Times" w:hAnsi="Times" w:cs="ømF»˛"/>
          <w:color w:val="0563C2"/>
        </w:rPr>
        <w:t>Daniel.Dickson@asu.edu</w:t>
      </w:r>
      <w:r w:rsidRPr="0000720C">
        <w:rPr>
          <w:rFonts w:ascii="Times" w:hAnsi="Times" w:cs="ømF»˛"/>
          <w:color w:val="000000"/>
        </w:rPr>
        <w:t>).</w:t>
      </w:r>
    </w:p>
    <w:p w14:paraId="3D316010" w14:textId="77777777" w:rsidR="0000720C" w:rsidRDefault="0000720C" w:rsidP="001A5BCE">
      <w:pPr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F239AB6" w14:textId="7A670800" w:rsidR="001A5BCE" w:rsidRPr="0000720C" w:rsidRDefault="0000720C" w:rsidP="001A5BCE">
      <w:pPr>
        <w:autoSpaceDE w:val="0"/>
        <w:autoSpaceDN w:val="0"/>
        <w:adjustRightInd w:val="0"/>
        <w:rPr>
          <w:rFonts w:ascii="Times" w:hAnsi="Times" w:cs="Times New Roman"/>
          <w:b/>
          <w:bCs/>
          <w:color w:val="000000"/>
        </w:rPr>
      </w:pPr>
      <w:r>
        <w:rPr>
          <w:rFonts w:ascii="Times" w:hAnsi="Times" w:cs="Times New Roman"/>
          <w:b/>
          <w:bCs/>
          <w:color w:val="000000"/>
        </w:rPr>
        <w:t>Terms and Conditions</w:t>
      </w:r>
    </w:p>
    <w:p w14:paraId="23F32990" w14:textId="1D70561F" w:rsidR="001A5BCE" w:rsidRPr="001E6091" w:rsidRDefault="001A5BCE" w:rsidP="001A5BCE">
      <w:pPr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28E2CF0" w14:textId="3A0AC960" w:rsidR="001A5BCE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 xml:space="preserve">Extensions </w:t>
      </w:r>
      <w:r w:rsidR="001444B1">
        <w:rPr>
          <w:rFonts w:ascii="Times" w:hAnsi="Times" w:cs="ømF»˛"/>
          <w:color w:val="000000"/>
        </w:rPr>
        <w:t>may be</w:t>
      </w:r>
      <w:r w:rsidR="00166160">
        <w:rPr>
          <w:rFonts w:ascii="Times" w:hAnsi="Times" w:cs="ømF»˛"/>
          <w:color w:val="000000"/>
        </w:rPr>
        <w:t xml:space="preserve"> granted upon written request for special or unusual circumstances</w:t>
      </w:r>
      <w:r w:rsidRPr="001E6091">
        <w:rPr>
          <w:rFonts w:ascii="Times" w:hAnsi="Times" w:cs="ømF»˛"/>
          <w:color w:val="000000"/>
        </w:rPr>
        <w:t xml:space="preserve">. </w:t>
      </w:r>
      <w:r w:rsidR="00166160">
        <w:rPr>
          <w:rFonts w:ascii="Times" w:hAnsi="Times" w:cs="ømF»˛"/>
          <w:color w:val="000000"/>
        </w:rPr>
        <w:t>Otherwise, u</w:t>
      </w:r>
      <w:r w:rsidRPr="001E6091">
        <w:rPr>
          <w:rFonts w:ascii="Times" w:hAnsi="Times" w:cs="ømF»˛"/>
          <w:color w:val="000000"/>
        </w:rPr>
        <w:t xml:space="preserve">nspent funds will </w:t>
      </w:r>
      <w:r w:rsidR="00166160">
        <w:rPr>
          <w:rFonts w:ascii="Times" w:hAnsi="Times" w:cs="ømF»˛"/>
          <w:color w:val="000000"/>
        </w:rPr>
        <w:t>return to</w:t>
      </w:r>
      <w:r w:rsidRPr="001E6091">
        <w:rPr>
          <w:rFonts w:ascii="Times" w:hAnsi="Times" w:cs="ømF»˛"/>
          <w:color w:val="000000"/>
        </w:rPr>
        <w:t xml:space="preserve"> IHR.</w:t>
      </w:r>
    </w:p>
    <w:p w14:paraId="66D4E64E" w14:textId="77777777" w:rsidR="00166160" w:rsidRPr="001E6091" w:rsidRDefault="00166160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1F088BF4" w14:textId="5B41C5B6" w:rsidR="001A5BCE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Changes to the budget of greater than 10% will require approval from IHR leadership. Requests entailing a</w:t>
      </w:r>
      <w:r w:rsidR="00166160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significant change to the scope of work also require approval and may be referred to the Grants and Awards</w:t>
      </w:r>
      <w:r w:rsidR="00166160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Committee.</w:t>
      </w:r>
    </w:p>
    <w:p w14:paraId="054AB395" w14:textId="77777777" w:rsidR="00166160" w:rsidRPr="001E6091" w:rsidRDefault="00166160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2FF849D4" w14:textId="29308DD4" w:rsidR="001A5BCE" w:rsidRPr="001E6091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Funds awarded will be transferred to your unit. Before beginning spending on their award, recipients must</w:t>
      </w:r>
      <w:r w:rsidR="00166160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 xml:space="preserve">meet with the </w:t>
      </w:r>
      <w:hyperlink r:id="rId8" w:history="1">
        <w:r w:rsidRPr="00D94C17">
          <w:rPr>
            <w:rStyle w:val="Hyperlink"/>
            <w:rFonts w:ascii="Times" w:hAnsi="Times" w:cs="ømF»˛"/>
          </w:rPr>
          <w:t>IHR’s Business Operations Specialist</w:t>
        </w:r>
      </w:hyperlink>
      <w:r w:rsidRPr="001E6091">
        <w:rPr>
          <w:rFonts w:ascii="Times" w:hAnsi="Times" w:cs="ømF»˛"/>
          <w:color w:val="000000"/>
        </w:rPr>
        <w:t>.</w:t>
      </w:r>
    </w:p>
    <w:p w14:paraId="7EF6D98B" w14:textId="77777777" w:rsidR="00166160" w:rsidRDefault="00166160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048B89D4" w14:textId="4D053E24" w:rsidR="001A5BCE" w:rsidRPr="001E6091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Seed Grant recipients agree to pursue external funding, with their first application submitted no later</w:t>
      </w:r>
      <w:r w:rsidR="007C548E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than two years after the end date of their award. Recipients must:</w:t>
      </w:r>
    </w:p>
    <w:p w14:paraId="5E07BC42" w14:textId="4DD96FE8" w:rsidR="001A5BCE" w:rsidRPr="001E6091" w:rsidRDefault="001A5BCE" w:rsidP="00C5609C">
      <w:pPr>
        <w:autoSpaceDE w:val="0"/>
        <w:autoSpaceDN w:val="0"/>
        <w:adjustRightInd w:val="0"/>
        <w:ind w:left="72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pursue funding that exceeds the value of the IHR’s support and continue to do so until</w:t>
      </w:r>
      <w:r w:rsidR="00C5609C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their</w:t>
      </w:r>
      <w:r w:rsidR="00C5609C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external funding first exceeds the amount of their IHR award</w:t>
      </w:r>
    </w:p>
    <w:p w14:paraId="22BCCD2F" w14:textId="0717E5EF" w:rsidR="001A5BCE" w:rsidRPr="001E6091" w:rsidRDefault="001A5BCE" w:rsidP="00C5609C">
      <w:pPr>
        <w:autoSpaceDE w:val="0"/>
        <w:autoSpaceDN w:val="0"/>
        <w:adjustRightInd w:val="0"/>
        <w:ind w:left="720"/>
        <w:rPr>
          <w:rFonts w:ascii="Times" w:hAnsi="Times" w:cs="ømF»˛"/>
          <w:color w:val="000000"/>
        </w:rPr>
      </w:pPr>
      <w:r w:rsidRPr="001E6091">
        <w:rPr>
          <w:rFonts w:ascii="Times" w:hAnsi="Times" w:cs="Times New Roman"/>
          <w:color w:val="000000"/>
        </w:rPr>
        <w:t xml:space="preserve">• </w:t>
      </w:r>
      <w:r w:rsidRPr="001E6091">
        <w:rPr>
          <w:rFonts w:ascii="Times" w:hAnsi="Times" w:cs="ømF»˛"/>
          <w:color w:val="000000"/>
        </w:rPr>
        <w:t>include the IHR as an ‘Institute’ in RID and REC allocations on relevant ASU forms when they</w:t>
      </w:r>
      <w:r w:rsidR="00C5609C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apply for external funding</w:t>
      </w:r>
    </w:p>
    <w:p w14:paraId="4085D83F" w14:textId="77777777" w:rsidR="00C5609C" w:rsidRDefault="00C5609C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520DEFBC" w14:textId="2847998E" w:rsidR="001A5BCE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Once their received funding exceeds that of the IHR Seed Grant, recipients will agree to include a nominal</w:t>
      </w:r>
      <w:r w:rsidR="00C5609C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amount of allocation to the IHR (1%) for tracking purposes for all grants related to their IHR-funded research.</w:t>
      </w:r>
      <w:r w:rsidR="00C5609C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Research Administrators for the IHR and CLAS Humanities are available to assist with this process; they may</w:t>
      </w:r>
      <w:r w:rsidR="00C5609C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 xml:space="preserve">be reached at </w:t>
      </w:r>
      <w:hyperlink r:id="rId9" w:history="1">
        <w:r w:rsidR="00C5609C" w:rsidRPr="00DE7F6C">
          <w:rPr>
            <w:rStyle w:val="Hyperlink"/>
            <w:rFonts w:ascii="Times" w:hAnsi="Times" w:cs="ømF»˛"/>
          </w:rPr>
          <w:t>humanitiesra@asu.edu</w:t>
        </w:r>
      </w:hyperlink>
      <w:r w:rsidRPr="001E6091">
        <w:rPr>
          <w:rFonts w:ascii="Times" w:hAnsi="Times" w:cs="ømF»˛"/>
          <w:color w:val="000000"/>
        </w:rPr>
        <w:t>.</w:t>
      </w:r>
    </w:p>
    <w:p w14:paraId="0089C8CF" w14:textId="77777777" w:rsidR="00C5609C" w:rsidRPr="001E6091" w:rsidRDefault="00C5609C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39CAE649" w14:textId="1536485E" w:rsidR="001A5BCE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The IHR must be acknowledged/credited in all relevant external funding applications, publicity (</w:t>
      </w:r>
      <w:proofErr w:type="gramStart"/>
      <w:r w:rsidRPr="001E6091">
        <w:rPr>
          <w:rFonts w:ascii="Times" w:hAnsi="Times" w:cs="ømF»˛"/>
          <w:color w:val="000000"/>
        </w:rPr>
        <w:t>e.g.</w:t>
      </w:r>
      <w:proofErr w:type="gramEnd"/>
      <w:r w:rsidRPr="001E6091">
        <w:rPr>
          <w:rFonts w:ascii="Times" w:hAnsi="Times" w:cs="ømF»˛"/>
          <w:color w:val="000000"/>
        </w:rPr>
        <w:t xml:space="preserve"> ASU</w:t>
      </w:r>
      <w:r w:rsidR="00C5609C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Now, newspapers, etc.) and on publications, internal forms, and other activities supported by the Seed Grant</w:t>
      </w:r>
      <w:r w:rsidR="00C5609C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award.</w:t>
      </w:r>
    </w:p>
    <w:p w14:paraId="5E82F704" w14:textId="77777777" w:rsidR="0000207D" w:rsidRPr="001E6091" w:rsidRDefault="0000207D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338F192D" w14:textId="4D87BE83" w:rsidR="001A5BCE" w:rsidRDefault="001A5BCE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During the term of the seed grant, the IHR will provide access to our conference room (RBH 196)</w:t>
      </w:r>
      <w:r w:rsidR="00C5609C">
        <w:rPr>
          <w:rFonts w:ascii="Times" w:hAnsi="Times" w:cs="ømF»˛"/>
          <w:color w:val="000000"/>
        </w:rPr>
        <w:t xml:space="preserve"> and </w:t>
      </w:r>
      <w:r w:rsidRPr="001E6091">
        <w:rPr>
          <w:rFonts w:ascii="Times" w:hAnsi="Times" w:cs="ømF»˛"/>
          <w:color w:val="000000"/>
        </w:rPr>
        <w:t>assist with</w:t>
      </w:r>
      <w:r w:rsidR="00C5609C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publicity for public events. Beyond these services,</w:t>
      </w:r>
      <w:r w:rsidR="00C5609C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Seed Grant recipients must arrange their own logistics (refreshments, written materials, invitations, etc.).</w:t>
      </w:r>
    </w:p>
    <w:p w14:paraId="6BA49043" w14:textId="77777777" w:rsidR="00C5609C" w:rsidRPr="001E6091" w:rsidRDefault="00C5609C" w:rsidP="001A5BCE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</w:p>
    <w:p w14:paraId="324D5F86" w14:textId="06DBCE91" w:rsidR="001A5BCE" w:rsidRPr="00C5609C" w:rsidRDefault="001A5BCE" w:rsidP="00C5609C">
      <w:pPr>
        <w:autoSpaceDE w:val="0"/>
        <w:autoSpaceDN w:val="0"/>
        <w:adjustRightInd w:val="0"/>
        <w:rPr>
          <w:rFonts w:ascii="Times" w:hAnsi="Times" w:cs="ømF»˛"/>
          <w:color w:val="000000"/>
        </w:rPr>
      </w:pPr>
      <w:r w:rsidRPr="001E6091">
        <w:rPr>
          <w:rFonts w:ascii="Times" w:hAnsi="Times" w:cs="ømF»˛"/>
          <w:color w:val="000000"/>
        </w:rPr>
        <w:t>Seed Grant recipients will receive a full set of terms and conditions in their final award letter. At the time of</w:t>
      </w:r>
      <w:r w:rsidR="00C5609C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award, we ask recipients to carefully review these terms and to indicate their adherence to them by signing their</w:t>
      </w:r>
      <w:r w:rsidR="00C5609C">
        <w:rPr>
          <w:rFonts w:ascii="Times" w:hAnsi="Times" w:cs="ømF»˛"/>
          <w:color w:val="000000"/>
        </w:rPr>
        <w:t xml:space="preserve"> </w:t>
      </w:r>
      <w:r w:rsidRPr="001E6091">
        <w:rPr>
          <w:rFonts w:ascii="Times" w:hAnsi="Times" w:cs="ømF»˛"/>
          <w:color w:val="000000"/>
        </w:rPr>
        <w:t>award letter. Funds will only become available upon receipt of the signed award letter.</w:t>
      </w:r>
    </w:p>
    <w:sectPr w:rsidR="001A5BCE" w:rsidRPr="00C5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ømF»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603F"/>
    <w:multiLevelType w:val="hybridMultilevel"/>
    <w:tmpl w:val="4C3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115D7"/>
    <w:multiLevelType w:val="hybridMultilevel"/>
    <w:tmpl w:val="3E64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D3874"/>
    <w:multiLevelType w:val="hybridMultilevel"/>
    <w:tmpl w:val="FCDE5D24"/>
    <w:lvl w:ilvl="0" w:tplc="FB3CED7A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="ømF»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182"/>
    <w:multiLevelType w:val="hybridMultilevel"/>
    <w:tmpl w:val="A1A0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CE"/>
    <w:rsid w:val="0000207D"/>
    <w:rsid w:val="0000720C"/>
    <w:rsid w:val="001323AA"/>
    <w:rsid w:val="001444B1"/>
    <w:rsid w:val="00166160"/>
    <w:rsid w:val="001A5BCE"/>
    <w:rsid w:val="001E6091"/>
    <w:rsid w:val="003641DB"/>
    <w:rsid w:val="0038649B"/>
    <w:rsid w:val="004E1FD0"/>
    <w:rsid w:val="005673AC"/>
    <w:rsid w:val="005A1146"/>
    <w:rsid w:val="005B3E04"/>
    <w:rsid w:val="005F0CA9"/>
    <w:rsid w:val="00626084"/>
    <w:rsid w:val="00691264"/>
    <w:rsid w:val="007830F7"/>
    <w:rsid w:val="007C548E"/>
    <w:rsid w:val="007F7FB8"/>
    <w:rsid w:val="008351B0"/>
    <w:rsid w:val="008711D7"/>
    <w:rsid w:val="008C3408"/>
    <w:rsid w:val="00915343"/>
    <w:rsid w:val="009A0541"/>
    <w:rsid w:val="00B06CA7"/>
    <w:rsid w:val="00B14162"/>
    <w:rsid w:val="00B574BB"/>
    <w:rsid w:val="00BC199F"/>
    <w:rsid w:val="00BE2FF4"/>
    <w:rsid w:val="00C02A46"/>
    <w:rsid w:val="00C5609C"/>
    <w:rsid w:val="00CC468A"/>
    <w:rsid w:val="00D759AE"/>
    <w:rsid w:val="00D94C17"/>
    <w:rsid w:val="00DF5122"/>
    <w:rsid w:val="00F30B4D"/>
    <w:rsid w:val="00F7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579FE"/>
  <w15:chartTrackingRefBased/>
  <w15:docId w15:val="{E41F0EE3-04AE-5741-A4F5-9DDB5F8F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CA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1E60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r.asu.edu/sta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creative.a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fo.asu.edu/traveler-resour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ents.asu.edu/employment/employ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itiesra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Broglio</dc:creator>
  <cp:keywords/>
  <dc:description/>
  <cp:lastModifiedBy>Ron Broglio</cp:lastModifiedBy>
  <cp:revision>2</cp:revision>
  <dcterms:created xsi:type="dcterms:W3CDTF">2021-09-30T19:34:00Z</dcterms:created>
  <dcterms:modified xsi:type="dcterms:W3CDTF">2021-09-30T19:34:00Z</dcterms:modified>
</cp:coreProperties>
</file>